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40"/>
          <w:pgNumType w:start="1"/>
        </w:sectPr>
      </w:pPr>
    </w:p>
    <w:p>
      <w:pPr>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20.764025pt;width:414pt;height:.1pt;mso-position-horizontal-relative:page;mso-position-vertical-relative:paragraph;z-index:-384" coordorigin="2917,415" coordsize="8280,2">
            <v:shape style="position:absolute;left:2917;top:415;width:8280;height:2" coordorigin="2917,415" coordsize="8280,0" path="m2917,415l11197,41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产品概述</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一种三罐装、有机硅弹性体不沾污涂料。</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94"/>
            <w:col w:w="8428"/>
          </w:cols>
        </w:sectPr>
      </w:pPr>
    </w:p>
    <w:p>
      <w:pPr>
        <w:spacing w:before="7"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40"/>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预期用途</w:t>
      </w:r>
    </w:p>
    <w:p>
      <w:pPr>
        <w:spacing w:before="7" w:after="0" w:line="185" w:lineRule="auto"/>
        <w:ind w:right="216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作为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737/757</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不沾污系统</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(北美为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731/757)</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的面漆。特别设计用于远洋班轮。</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用于新造船或维修和保养。</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79"/>
            <w:col w:w="844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40"/>
        </w:sectPr>
      </w:pPr>
    </w:p>
    <w:p>
      <w:pPr>
        <w:tabs>
          <w:tab w:pos="22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850006pt;margin-top:-3.757876pt;width:414pt;height:.1pt;mso-position-horizontal-relative:page;mso-position-vertical-relative:paragraph;z-index:-383"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sz w:val="22"/>
          <w:szCs w:val="22"/>
        </w:rPr>
        <w:t>产品信息</w:t>
        <w:tab/>
      </w:r>
      <w:r>
        <w:rPr>
          <w:rFonts w:ascii="Arial Unicode MS" w:hAnsi="Arial Unicode MS" w:cs="Arial Unicode MS" w:eastAsia="Arial Unicode MS"/>
          <w:spacing w:val="0"/>
          <w:w w:val="100"/>
          <w:sz w:val="22"/>
          <w:szCs w:val="22"/>
        </w:rPr>
        <w:t>颜色</w:t>
      </w:r>
    </w:p>
    <w:p>
      <w:pPr>
        <w:spacing w:before="7" w:after="0" w:line="185" w:lineRule="auto"/>
        <w:ind w:right="736"/>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BXA752-蓝色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（甲组份）,</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BXA755-黑色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（甲组份）,</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BXA756-红色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（甲组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份）,</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BXA757-灰色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（甲组份）</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2738" w:space="1935"/>
            <w:col w:w="6067"/>
          </w:cols>
        </w:sectPr>
      </w:pPr>
    </w:p>
    <w:p>
      <w:pPr>
        <w:tabs>
          <w:tab w:pos="4660" w:val="left"/>
        </w:tabs>
        <w:spacing w:before="15"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光泽</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BXA758（乙组份）和</w:t>
      </w:r>
      <w:r>
        <w:rPr>
          <w:rFonts w:ascii="Arial Unicode MS" w:hAnsi="Arial Unicode MS" w:cs="Arial Unicode MS" w:eastAsia="Arial Unicode MS"/>
          <w:spacing w:val="-15"/>
          <w:w w:val="100"/>
          <w:position w:val="3"/>
          <w:sz w:val="16"/>
          <w:szCs w:val="16"/>
        </w:rPr>
        <w:t> </w:t>
      </w:r>
      <w:r>
        <w:rPr>
          <w:rFonts w:ascii="Arial Unicode MS" w:hAnsi="Arial Unicode MS" w:cs="Arial Unicode MS" w:eastAsia="Arial Unicode MS"/>
          <w:spacing w:val="0"/>
          <w:w w:val="100"/>
          <w:position w:val="3"/>
          <w:sz w:val="16"/>
          <w:szCs w:val="16"/>
        </w:rPr>
        <w:t>BXA759（丙组份）</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72％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398" w:space="1275"/>
            <w:col w:w="606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w:t>
      </w:r>
      <w:r>
        <w:rPr>
          <w:rFonts w:ascii="Arial Unicode MS" w:hAnsi="Arial Unicode MS" w:cs="Arial Unicode MS" w:eastAsia="Arial Unicode MS"/>
          <w:spacing w:val="-1"/>
          <w:w w:val="100"/>
          <w:position w:val="4"/>
          <w:sz w:val="16"/>
          <w:szCs w:val="16"/>
        </w:rPr>
        <w:t> </w:t>
      </w:r>
      <w:r>
        <w:rPr>
          <w:rFonts w:ascii="Arial Unicode MS" w:hAnsi="Arial Unicode MS" w:cs="Arial Unicode MS" w:eastAsia="Arial Unicode MS"/>
          <w:spacing w:val="0"/>
          <w:w w:val="100"/>
          <w:position w:val="4"/>
          <w:sz w:val="16"/>
          <w:szCs w:val="16"/>
        </w:rPr>
        <w:t>15：4：1(体积比)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150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17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4.80</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392" w:space="1281"/>
            <w:col w:w="6067"/>
          </w:cols>
        </w:sectPr>
      </w:pPr>
    </w:p>
    <w:p>
      <w:pPr>
        <w:tabs>
          <w:tab w:pos="4660" w:val="left"/>
        </w:tabs>
        <w:spacing w:before="60" w:after="0" w:line="172" w:lineRule="auto"/>
        <w:ind w:left="4672" w:right="634" w:hanging="2381"/>
        <w:jc w:val="both"/>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闪点</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甲组份</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41°C;</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乙组份</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26°C;</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丙组份</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33°C;</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混合后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30°C</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(在北美生产和供应的</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产品，由于采用当地溶剂，其闪点分别为甲组份</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38°C、</w:t>
      </w:r>
      <w:r>
        <w:rPr>
          <w:rFonts w:ascii="Arial Unicode MS" w:hAnsi="Arial Unicode MS" w:cs="Arial Unicode MS" w:eastAsia="Arial Unicode MS"/>
          <w:spacing w:val="-5"/>
          <w:w w:val="100"/>
          <w:position w:val="0"/>
          <w:sz w:val="16"/>
          <w:szCs w:val="16"/>
        </w:rPr>
        <w:t> </w:t>
      </w:r>
      <w:r>
        <w:rPr>
          <w:rFonts w:ascii="Arial Unicode MS" w:hAnsi="Arial Unicode MS" w:cs="Arial Unicode MS" w:eastAsia="Arial Unicode MS"/>
          <w:spacing w:val="0"/>
          <w:w w:val="100"/>
          <w:position w:val="0"/>
          <w:sz w:val="16"/>
          <w:szCs w:val="16"/>
        </w:rPr>
        <w:t>乙组份</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25°C</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以及混</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合后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35°C。对产品性能没有不利影响)。</w:t>
      </w:r>
      <w:r>
        <w:rPr>
          <w:rFonts w:ascii="Arial Unicode MS" w:hAnsi="Arial Unicode MS" w:cs="Arial Unicode MS" w:eastAsia="Arial Unicode MS"/>
          <w:spacing w:val="0"/>
          <w:w w:val="100"/>
          <w:position w:val="0"/>
          <w:sz w:val="16"/>
          <w:szCs w:val="16"/>
        </w:rPr>
      </w:r>
    </w:p>
    <w:p>
      <w:pPr>
        <w:tabs>
          <w:tab w:pos="4660" w:val="left"/>
        </w:tabs>
        <w:spacing w:before="0" w:after="0" w:line="354" w:lineRule="exact"/>
        <w:ind w:left="2291" w:right="-20"/>
        <w:jc w:val="left"/>
        <w:rPr>
          <w:rFonts w:ascii="Arial Unicode MS" w:hAnsi="Arial Unicode MS" w:cs="Arial Unicode MS" w:eastAsia="Arial Unicode MS"/>
          <w:sz w:val="16"/>
          <w:szCs w:val="16"/>
        </w:rPr>
      </w:pPr>
      <w:r>
        <w:rPr/>
        <w:pict>
          <v:group style="position:absolute;margin-left:145.570007pt;margin-top:31.305788pt;width:414.0pt;height:.1pt;mso-position-horizontal-relative:page;mso-position-vertical-relative:paragraph;z-index:-381" coordorigin="2911,626" coordsize="8280,2">
            <v:shape style="position:absolute;left:2911;top:626;width:8280;height:2" coordorigin="2911,626" coordsize="8280,0" path="m2911,626l11191,626e" filled="f" stroked="t" strokeweight="1.5pt" strokecolor="#000000">
              <v:path arrowok="t"/>
            </v:shape>
            <w10:wrap type="none"/>
          </v:group>
        </w:pict>
      </w:r>
      <w:r>
        <w:rPr>
          <w:rFonts w:ascii="Arial Unicode MS" w:hAnsi="Arial Unicode MS" w:cs="Arial Unicode MS" w:eastAsia="Arial Unicode MS"/>
          <w:spacing w:val="0"/>
          <w:w w:val="100"/>
          <w:position w:val="-2"/>
          <w:sz w:val="22"/>
          <w:szCs w:val="22"/>
        </w:rPr>
        <w:t>熟化时间</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不需要</w:t>
      </w:r>
      <w:r>
        <w:rPr>
          <w:rFonts w:ascii="Arial Unicode MS" w:hAnsi="Arial Unicode MS" w:cs="Arial Unicode MS" w:eastAsia="Arial Unicode MS"/>
          <w:spacing w:val="0"/>
          <w:w w:val="100"/>
          <w:position w:val="0"/>
          <w:sz w:val="16"/>
          <w:szCs w:val="16"/>
        </w:rPr>
      </w:r>
    </w:p>
    <w:p>
      <w:pPr>
        <w:spacing w:before="7" w:after="0" w:line="280" w:lineRule="exact"/>
        <w:jc w:val="left"/>
        <w:rPr>
          <w:sz w:val="28"/>
          <w:szCs w:val="28"/>
        </w:rPr>
      </w:pPr>
      <w:r>
        <w:rPr>
          <w:sz w:val="28"/>
          <w:szCs w:val="28"/>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6"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5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0°C</w:t>
            </w:r>
            <w:r>
              <w:rPr>
                <w:rFonts w:ascii="Arial Unicode MS" w:hAnsi="Arial Unicode MS" w:cs="Arial Unicode MS" w:eastAsia="Arial Unicode MS"/>
                <w:spacing w:val="0"/>
                <w:w w:val="100"/>
                <w:sz w:val="14"/>
                <w:szCs w:val="14"/>
              </w:rPr>
            </w:r>
          </w:p>
        </w:tc>
        <w:tc>
          <w:tcPr>
            <w:tcW w:w="1459" w:type="dxa"/>
            <w:tcBorders>
              <w:top w:val="single" w:sz="12" w:space="0" w:color="000000"/>
              <w:left w:val="nil" w:sz="6" w:space="0" w:color="auto"/>
              <w:bottom w:val="single" w:sz="4" w:space="0" w:color="000000"/>
              <w:right w:val="nil" w:sz="6" w:space="0" w:color="auto"/>
            </w:tcBorders>
          </w:tcPr>
          <w:p>
            <w:pPr>
              <w:spacing w:before="93" w:after="0" w:line="240" w:lineRule="auto"/>
              <w:ind w:left="533" w:right="5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15°C</w:t>
            </w:r>
            <w:r>
              <w:rPr>
                <w:rFonts w:ascii="Arial Unicode MS" w:hAnsi="Arial Unicode MS" w:cs="Arial Unicode MS" w:eastAsia="Arial Unicode MS"/>
                <w:spacing w:val="0"/>
                <w:w w:val="100"/>
                <w:sz w:val="14"/>
                <w:szCs w:val="14"/>
              </w:rPr>
            </w:r>
          </w:p>
        </w:tc>
        <w:tc>
          <w:tcPr>
            <w:tcW w:w="1420" w:type="dxa"/>
            <w:tcBorders>
              <w:top w:val="single" w:sz="12" w:space="0" w:color="000000"/>
              <w:left w:val="nil" w:sz="6" w:space="0" w:color="auto"/>
              <w:bottom w:val="single" w:sz="4" w:space="0" w:color="000000"/>
              <w:right w:val="nil" w:sz="6" w:space="0" w:color="auto"/>
            </w:tcBorders>
          </w:tcPr>
          <w:p>
            <w:pPr>
              <w:spacing w:before="93" w:after="0" w:line="240" w:lineRule="auto"/>
              <w:ind w:left="51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1071"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下水前</w:t>
            </w:r>
          </w:p>
          <w:p>
            <w:pPr>
              <w:spacing w:before="0" w:after="0" w:line="240" w:lineRule="auto"/>
              <w:ind w:left="50" w:right="1700"/>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凝胶时间</w:t>
            </w:r>
          </w:p>
        </w:tc>
        <w:tc>
          <w:tcPr>
            <w:tcW w:w="1266"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27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180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59" w:type="dxa"/>
            <w:tcBorders>
              <w:top w:val="single" w:sz="4" w:space="0" w:color="000000"/>
              <w:left w:val="nil" w:sz="6" w:space="0" w:color="auto"/>
              <w:bottom w:val="nil" w:sz="6" w:space="0" w:color="auto"/>
              <w:right w:val="nil" w:sz="6" w:space="0" w:color="auto"/>
            </w:tcBorders>
          </w:tcPr>
          <w:p>
            <w:pPr>
              <w:spacing w:before="3" w:after="0" w:line="240" w:lineRule="auto"/>
              <w:ind w:left="488" w:right="49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88" w:right="49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1" w:right="4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13" w:right="4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20" w:type="dxa"/>
            <w:tcBorders>
              <w:top w:val="single" w:sz="4" w:space="0" w:color="000000"/>
              <w:left w:val="nil" w:sz="6" w:space="0" w:color="auto"/>
              <w:bottom w:val="nil" w:sz="6" w:space="0" w:color="auto"/>
              <w:right w:val="nil" w:sz="6" w:space="0" w:color="auto"/>
            </w:tcBorders>
          </w:tcPr>
          <w:p>
            <w:pPr>
              <w:spacing w:before="3" w:after="0" w:line="240" w:lineRule="auto"/>
              <w:ind w:left="47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7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3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3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tc>
      </w:tr>
    </w:tbl>
    <w:p>
      <w:pPr>
        <w:spacing w:before="98" w:after="0" w:line="185" w:lineRule="auto"/>
        <w:ind w:left="2685" w:right="449" w:hanging="407"/>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注解</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10"/>
          <w:w w:val="100"/>
          <w:sz w:val="14"/>
          <w:szCs w:val="14"/>
        </w:rPr>
        <w:t> </w:t>
      </w:r>
      <w:r>
        <w:rPr>
          <w:rFonts w:ascii="Arial Unicode MS" w:hAnsi="Arial Unicode MS" w:cs="Arial Unicode MS" w:eastAsia="Arial Unicode MS"/>
          <w:spacing w:val="0"/>
          <w:w w:val="100"/>
          <w:sz w:val="14"/>
          <w:szCs w:val="14"/>
        </w:rPr>
        <w:t>温度在5°C</w:t>
      </w:r>
      <w:r>
        <w:rPr>
          <w:rFonts w:ascii="Arial Unicode MS" w:hAnsi="Arial Unicode MS" w:cs="Arial Unicode MS" w:eastAsia="Arial Unicode MS"/>
          <w:spacing w:val="-7"/>
          <w:w w:val="100"/>
          <w:sz w:val="14"/>
          <w:szCs w:val="14"/>
        </w:rPr>
        <w:t> </w:t>
      </w:r>
      <w:r>
        <w:rPr>
          <w:rFonts w:ascii="Arial Unicode MS" w:hAnsi="Arial Unicode MS" w:cs="Arial Unicode MS" w:eastAsia="Arial Unicode MS"/>
          <w:spacing w:val="0"/>
          <w:w w:val="100"/>
          <w:sz w:val="14"/>
          <w:szCs w:val="14"/>
        </w:rPr>
        <w:t>和</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99"/>
          <w:sz w:val="14"/>
          <w:szCs w:val="14"/>
        </w:rPr>
        <w:t>20°C之间时，下水前的间隔可减少至24小时，条件是船舶在下水后必须至少停泊2-3天。温度在0°C</w:t>
      </w:r>
      <w:r>
        <w:rPr>
          <w:rFonts w:ascii="Arial Unicode MS" w:hAnsi="Arial Unicode MS" w:cs="Arial Unicode MS" w:eastAsia="Arial Unicode MS"/>
          <w:spacing w:val="0"/>
          <w:w w:val="99"/>
          <w:sz w:val="14"/>
          <w:szCs w:val="14"/>
        </w:rPr>
        <w:t> </w:t>
      </w:r>
      <w:r>
        <w:rPr>
          <w:rFonts w:ascii="Arial Unicode MS" w:hAnsi="Arial Unicode MS" w:cs="Arial Unicode MS" w:eastAsia="Arial Unicode MS"/>
          <w:spacing w:val="0"/>
          <w:w w:val="100"/>
          <w:sz w:val="14"/>
          <w:szCs w:val="14"/>
        </w:rPr>
        <w:t>和</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5°C之</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间时，下水前的最短时间为48小时，且船舶在出坞后必须至少停泊4天。但是，涂层可能会在遭受机械磨损（例如，因防护</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材或冲击破损而产生的机械磨损）的任何区域出现层间剥落。</w:t>
      </w:r>
    </w:p>
    <w:p>
      <w:pPr>
        <w:tabs>
          <w:tab w:pos="6520" w:val="left"/>
        </w:tabs>
        <w:spacing w:before="0" w:after="0" w:line="331"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复涂数据－见“限定”一节</w:t>
        <w:tab/>
      </w:r>
      <w:r>
        <w:rPr>
          <w:rFonts w:ascii="Arial Unicode MS" w:hAnsi="Arial Unicode MS" w:cs="Arial Unicode MS" w:eastAsia="Arial Unicode MS"/>
          <w:spacing w:val="0"/>
          <w:w w:val="100"/>
          <w:position w:val="0"/>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040" w:bottom="1780" w:left="620" w:right="540"/>
        </w:sectPr>
      </w:pPr>
    </w:p>
    <w:p>
      <w:pPr>
        <w:spacing w:before="66" w:after="0" w:line="233" w:lineRule="exact"/>
        <w:ind w:right="-20"/>
        <w:jc w:val="right"/>
        <w:rPr>
          <w:rFonts w:ascii="Arial Unicode MS" w:hAnsi="Arial Unicode MS" w:cs="Arial Unicode MS" w:eastAsia="Arial Unicode MS"/>
          <w:sz w:val="14"/>
          <w:szCs w:val="14"/>
        </w:rPr>
      </w:pPr>
      <w:r>
        <w:rPr/>
        <w:pict>
          <v:group style="position:absolute;margin-left:259.730011pt;margin-top:24.004648pt;width:274.5pt;height:.1pt;mso-position-horizontal-relative:page;mso-position-vertical-relative:paragraph;z-index:-380" coordorigin="5195,480" coordsize="5490,2">
            <v:shape style="position:absolute;left:5195;top:480;width:5490;height:2" coordorigin="5195,480" coordsize="5490,0" path="m5195,480l10685,480e" filled="f" stroked="t" strokeweight=".5pt" strokecolor="#000000">
              <v:path arrowok="t"/>
            </v:shape>
            <w10:wrap type="none"/>
          </v:group>
        </w:pict>
      </w: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040" w:bottom="1780" w:left="620" w:right="540"/>
          <w:cols w:num="2" w:equalWidth="0">
            <w:col w:w="3215" w:space="1404"/>
            <w:col w:w="6121"/>
          </w:cols>
        </w:sectPr>
      </w:pP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7" w:after="0" w:line="200" w:lineRule="exact"/>
        <w:jc w:val="left"/>
        <w:rPr>
          <w:sz w:val="20"/>
          <w:szCs w:val="20"/>
        </w:rPr>
      </w:pPr>
      <w:r>
        <w:rPr>
          <w:sz w:val="20"/>
          <w:szCs w:val="20"/>
        </w:rPr>
      </w:r>
    </w:p>
    <w:p>
      <w:pPr>
        <w:spacing w:before="13" w:after="0" w:line="185" w:lineRule="auto"/>
        <w:ind w:left="2685" w:right="486" w:hanging="450"/>
        <w:jc w:val="left"/>
        <w:rPr>
          <w:rFonts w:ascii="Arial Unicode MS" w:hAnsi="Arial Unicode MS" w:cs="Arial Unicode MS" w:eastAsia="Arial Unicode MS"/>
          <w:sz w:val="14"/>
          <w:szCs w:val="14"/>
        </w:rPr>
      </w:pPr>
      <w:r>
        <w:rPr/>
        <w:pict>
          <v:group style="position:absolute;margin-left:144.770004pt;margin-top:29.135916pt;width:411.75pt;height:.13pt;mso-position-horizontal-relative:page;mso-position-vertical-relative:paragraph;z-index:-382" coordorigin="2895,583" coordsize="8235,3">
            <v:shape style="position:absolute;left:2895;top:583;width:8235;height:3" coordorigin="2895,583" coordsize="8235,3" path="m2895,583l11130,585e" filled="f" stroked="t" strokeweight="1.5pt" strokecolor="#000000">
              <v:path arrowok="t"/>
            </v:shape>
            <w10:wrap type="none"/>
          </v:group>
        </w:pict>
      </w:r>
      <w:r>
        <w:rPr>
          <w:rFonts w:ascii="Arial Unicode MS" w:hAnsi="Arial Unicode MS" w:cs="Arial Unicode MS" w:eastAsia="Arial Unicode MS"/>
          <w:spacing w:val="0"/>
          <w:w w:val="100"/>
          <w:sz w:val="14"/>
          <w:szCs w:val="14"/>
        </w:rPr>
        <w:t>注解</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14"/>
          <w:w w:val="100"/>
          <w:sz w:val="14"/>
          <w:szCs w:val="14"/>
        </w:rPr>
        <w:t> </w:t>
      </w:r>
      <w:r>
        <w:rPr>
          <w:rFonts w:ascii="Arial Unicode MS" w:hAnsi="Arial Unicode MS" w:cs="Arial Unicode MS" w:eastAsia="Arial Unicode MS"/>
          <w:spacing w:val="0"/>
          <w:w w:val="100"/>
          <w:sz w:val="14"/>
          <w:szCs w:val="14"/>
        </w:rPr>
        <w:t>可进行自身复涂，可以在新涂层上进行，也可在长时间“浸水”后的涂层上进行，条件是表面必须处于良好、清洁的状态。请</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向国际油漆</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(International</w:t>
      </w:r>
      <w:r>
        <w:rPr>
          <w:rFonts w:ascii="Arial Unicode MS" w:hAnsi="Arial Unicode MS" w:cs="Arial Unicode MS" w:eastAsia="Arial Unicode MS"/>
          <w:spacing w:val="-8"/>
          <w:w w:val="100"/>
          <w:sz w:val="14"/>
          <w:szCs w:val="14"/>
        </w:rPr>
        <w:t> </w:t>
      </w:r>
      <w:r>
        <w:rPr>
          <w:rFonts w:ascii="Arial Unicode MS" w:hAnsi="Arial Unicode MS" w:cs="Arial Unicode MS" w:eastAsia="Arial Unicode MS"/>
          <w:spacing w:val="0"/>
          <w:w w:val="100"/>
          <w:sz w:val="14"/>
          <w:szCs w:val="14"/>
        </w:rPr>
        <w:t>Paint)</w:t>
      </w:r>
      <w:r>
        <w:rPr>
          <w:rFonts w:ascii="Arial Unicode MS" w:hAnsi="Arial Unicode MS" w:cs="Arial Unicode MS" w:eastAsia="Arial Unicode MS"/>
          <w:spacing w:val="-4"/>
          <w:w w:val="100"/>
          <w:sz w:val="14"/>
          <w:szCs w:val="14"/>
        </w:rPr>
        <w:t> </w:t>
      </w:r>
      <w:r>
        <w:rPr>
          <w:rFonts w:ascii="Arial Unicode MS" w:hAnsi="Arial Unicode MS" w:cs="Arial Unicode MS" w:eastAsia="Arial Unicode MS"/>
          <w:spacing w:val="0"/>
          <w:w w:val="100"/>
          <w:sz w:val="14"/>
          <w:szCs w:val="14"/>
        </w:rPr>
        <w:t>咨询。</w:t>
      </w:r>
    </w:p>
    <w:p>
      <w:pPr>
        <w:spacing w:before="7"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40"/>
        </w:sectPr>
      </w:pPr>
    </w:p>
    <w:p>
      <w:pPr>
        <w:tabs>
          <w:tab w:pos="23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37.849998pt;margin-top:2.502124pt;width:525.6pt;height:124.1262pt;mso-position-horizontal-relative:page;mso-position-vertical-relative:paragraph;z-index:-379" coordorigin="757,50" coordsize="10512,2483">
            <v:shape style="position:absolute;left:757;top:50;width:10512;height:2483" coordorigin="757,50" coordsize="10512,2483" path="m757,2533l11269,2533,11269,50,757,50,757,2533xe" filled="t" fillcolor="#D2D2D2" stroked="f">
              <v:path arrowok="t"/>
              <v:fill/>
            </v:shape>
            <w10:wrap type="none"/>
          </v:group>
        </w:pict>
      </w:r>
      <w:r>
        <w:rPr>
          <w:rFonts w:ascii="Arial Unicode MS" w:hAnsi="Arial Unicode MS" w:cs="Arial Unicode MS" w:eastAsia="Arial Unicode MS"/>
          <w:spacing w:val="0"/>
          <w:w w:val="100"/>
          <w:sz w:val="22"/>
          <w:szCs w:val="22"/>
        </w:rPr>
        <w:t>法定数据</w:t>
        <w:tab/>
      </w:r>
      <w:r>
        <w:rPr>
          <w:rFonts w:ascii="Arial Unicode MS" w:hAnsi="Arial Unicode MS" w:cs="Arial Unicode MS" w:eastAsia="Arial Unicode MS"/>
          <w:spacing w:val="0"/>
          <w:w w:val="100"/>
          <w:sz w:val="22"/>
          <w:szCs w:val="22"/>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254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241</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4148" w:space="669"/>
            <w:col w:w="5923"/>
          </w:cols>
        </w:sectPr>
      </w:pPr>
    </w:p>
    <w:p>
      <w:pPr>
        <w:spacing w:before="15" w:after="0" w:line="185" w:lineRule="auto"/>
        <w:ind w:left="2388" w:right="4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tabs>
          <w:tab w:pos="4800" w:val="left"/>
        </w:tabs>
        <w:spacing w:before="9" w:after="0" w:line="182" w:lineRule="auto"/>
        <w:ind w:left="4817" w:right="569" w:hanging="2429"/>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军用规格</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1"/>
          <w:sz w:val="22"/>
          <w:szCs w:val="22"/>
        </w:rPr>
        <w:t>MIL-PRF-24647D,</w:t>
      </w:r>
      <w:r>
        <w:rPr>
          <w:rFonts w:ascii="Arial Unicode MS" w:hAnsi="Arial Unicode MS" w:cs="Arial Unicode MS" w:eastAsia="Arial Unicode MS"/>
          <w:spacing w:val="-18"/>
          <w:w w:val="100"/>
          <w:position w:val="1"/>
          <w:sz w:val="22"/>
          <w:szCs w:val="22"/>
        </w:rPr>
        <w:t> </w:t>
      </w:r>
      <w:r>
        <w:rPr>
          <w:rFonts w:ascii="Arial Unicode MS" w:hAnsi="Arial Unicode MS" w:cs="Arial Unicode MS" w:eastAsia="Arial Unicode MS"/>
          <w:spacing w:val="0"/>
          <w:w w:val="100"/>
          <w:position w:val="1"/>
          <w:sz w:val="22"/>
          <w:szCs w:val="22"/>
        </w:rPr>
        <w:t>类型</w:t>
      </w:r>
      <w:r>
        <w:rPr>
          <w:rFonts w:ascii="Arial Unicode MS" w:hAnsi="Arial Unicode MS" w:cs="Arial Unicode MS" w:eastAsia="Arial Unicode MS"/>
          <w:spacing w:val="0"/>
          <w:w w:val="100"/>
          <w:position w:val="1"/>
          <w:sz w:val="22"/>
          <w:szCs w:val="22"/>
        </w:rPr>
        <w:t> </w:t>
      </w:r>
      <w:r>
        <w:rPr>
          <w:rFonts w:ascii="Arial Unicode MS" w:hAnsi="Arial Unicode MS" w:cs="Arial Unicode MS" w:eastAsia="Arial Unicode MS"/>
          <w:spacing w:val="0"/>
          <w:w w:val="100"/>
          <w:position w:val="1"/>
          <w:sz w:val="22"/>
          <w:szCs w:val="22"/>
        </w:rPr>
        <w:t>III,</w:t>
      </w:r>
      <w:r>
        <w:rPr>
          <w:rFonts w:ascii="Arial Unicode MS" w:hAnsi="Arial Unicode MS" w:cs="Arial Unicode MS" w:eastAsia="Arial Unicode MS"/>
          <w:spacing w:val="-2"/>
          <w:w w:val="100"/>
          <w:position w:val="1"/>
          <w:sz w:val="22"/>
          <w:szCs w:val="22"/>
        </w:rPr>
        <w:t> </w:t>
      </w:r>
      <w:r>
        <w:rPr>
          <w:rFonts w:ascii="Arial Unicode MS" w:hAnsi="Arial Unicode MS" w:cs="Arial Unicode MS" w:eastAsia="Arial Unicode MS"/>
          <w:spacing w:val="0"/>
          <w:w w:val="100"/>
          <w:position w:val="1"/>
          <w:sz w:val="22"/>
          <w:szCs w:val="22"/>
        </w:rPr>
        <w:t>CL1,</w:t>
      </w:r>
      <w:r>
        <w:rPr>
          <w:rFonts w:ascii="Arial Unicode MS" w:hAnsi="Arial Unicode MS" w:cs="Arial Unicode MS" w:eastAsia="Arial Unicode MS"/>
          <w:spacing w:val="-5"/>
          <w:w w:val="100"/>
          <w:position w:val="1"/>
          <w:sz w:val="22"/>
          <w:szCs w:val="22"/>
        </w:rPr>
        <w:t> </w:t>
      </w:r>
      <w:r>
        <w:rPr>
          <w:rFonts w:ascii="Arial Unicode MS" w:hAnsi="Arial Unicode MS" w:cs="Arial Unicode MS" w:eastAsia="Arial Unicode MS"/>
          <w:spacing w:val="0"/>
          <w:w w:val="100"/>
          <w:position w:val="1"/>
          <w:sz w:val="22"/>
          <w:szCs w:val="22"/>
        </w:rPr>
        <w:t>2</w:t>
      </w:r>
      <w:r>
        <w:rPr>
          <w:rFonts w:ascii="Arial Unicode MS" w:hAnsi="Arial Unicode MS" w:cs="Arial Unicode MS" w:eastAsia="Arial Unicode MS"/>
          <w:spacing w:val="0"/>
          <w:w w:val="100"/>
          <w:position w:val="1"/>
          <w:sz w:val="22"/>
          <w:szCs w:val="22"/>
        </w:rPr>
        <w:t> </w:t>
      </w:r>
      <w:r>
        <w:rPr>
          <w:rFonts w:ascii="Arial Unicode MS" w:hAnsi="Arial Unicode MS" w:cs="Arial Unicode MS" w:eastAsia="Arial Unicode MS"/>
          <w:spacing w:val="0"/>
          <w:w w:val="100"/>
          <w:position w:val="1"/>
          <w:sz w:val="22"/>
          <w:szCs w:val="22"/>
        </w:rPr>
        <w:t>和</w:t>
      </w:r>
      <w:r>
        <w:rPr>
          <w:rFonts w:ascii="Arial Unicode MS" w:hAnsi="Arial Unicode MS" w:cs="Arial Unicode MS" w:eastAsia="Arial Unicode MS"/>
          <w:spacing w:val="0"/>
          <w:w w:val="100"/>
          <w:position w:val="1"/>
          <w:sz w:val="22"/>
          <w:szCs w:val="22"/>
        </w:rPr>
        <w:t> </w:t>
      </w:r>
      <w:r>
        <w:rPr>
          <w:rFonts w:ascii="Arial Unicode MS" w:hAnsi="Arial Unicode MS" w:cs="Arial Unicode MS" w:eastAsia="Arial Unicode MS"/>
          <w:spacing w:val="0"/>
          <w:w w:val="100"/>
          <w:position w:val="1"/>
          <w:sz w:val="22"/>
          <w:szCs w:val="22"/>
        </w:rPr>
        <w:t>3,</w:t>
      </w:r>
      <w:r>
        <w:rPr>
          <w:rFonts w:ascii="Arial Unicode MS" w:hAnsi="Arial Unicode MS" w:cs="Arial Unicode MS" w:eastAsia="Arial Unicode MS"/>
          <w:spacing w:val="-2"/>
          <w:w w:val="100"/>
          <w:position w:val="1"/>
          <w:sz w:val="22"/>
          <w:szCs w:val="22"/>
        </w:rPr>
        <w:t> </w:t>
      </w:r>
      <w:r>
        <w:rPr>
          <w:rFonts w:ascii="Arial Unicode MS" w:hAnsi="Arial Unicode MS" w:cs="Arial Unicode MS" w:eastAsia="Arial Unicode MS"/>
          <w:spacing w:val="0"/>
          <w:w w:val="100"/>
          <w:position w:val="1"/>
          <w:sz w:val="22"/>
          <w:szCs w:val="22"/>
        </w:rPr>
        <w:t>等级</w:t>
      </w:r>
      <w:r>
        <w:rPr>
          <w:rFonts w:ascii="Arial Unicode MS" w:hAnsi="Arial Unicode MS" w:cs="Arial Unicode MS" w:eastAsia="Arial Unicode MS"/>
          <w:spacing w:val="0"/>
          <w:w w:val="100"/>
          <w:position w:val="1"/>
          <w:sz w:val="22"/>
          <w:szCs w:val="22"/>
        </w:rPr>
        <w:t> </w:t>
      </w:r>
      <w:r>
        <w:rPr>
          <w:rFonts w:ascii="Arial Unicode MS" w:hAnsi="Arial Unicode MS" w:cs="Arial Unicode MS" w:eastAsia="Arial Unicode MS"/>
          <w:spacing w:val="0"/>
          <w:w w:val="100"/>
          <w:position w:val="1"/>
          <w:sz w:val="22"/>
          <w:szCs w:val="22"/>
        </w:rPr>
        <w:t>A,</w:t>
      </w:r>
      <w:r>
        <w:rPr>
          <w:rFonts w:ascii="Arial Unicode MS" w:hAnsi="Arial Unicode MS" w:cs="Arial Unicode MS" w:eastAsia="Arial Unicode MS"/>
          <w:spacing w:val="-2"/>
          <w:w w:val="100"/>
          <w:position w:val="1"/>
          <w:sz w:val="22"/>
          <w:szCs w:val="22"/>
        </w:rPr>
        <w:t> </w:t>
      </w:r>
      <w:r>
        <w:rPr>
          <w:rFonts w:ascii="Arial Unicode MS" w:hAnsi="Arial Unicode MS" w:cs="Arial Unicode MS" w:eastAsia="Arial Unicode MS"/>
          <w:spacing w:val="0"/>
          <w:w w:val="100"/>
          <w:position w:val="1"/>
          <w:sz w:val="22"/>
          <w:szCs w:val="22"/>
        </w:rPr>
        <w:t>应用</w:t>
      </w:r>
      <w:r>
        <w:rPr>
          <w:rFonts w:ascii="Arial Unicode MS" w:hAnsi="Arial Unicode MS" w:cs="Arial Unicode MS" w:eastAsia="Arial Unicode MS"/>
          <w:spacing w:val="0"/>
          <w:w w:val="100"/>
          <w:position w:val="1"/>
          <w:sz w:val="22"/>
          <w:szCs w:val="22"/>
        </w:rPr>
        <w:t> </w:t>
      </w:r>
      <w:r>
        <w:rPr>
          <w:rFonts w:ascii="Arial Unicode MS" w:hAnsi="Arial Unicode MS" w:cs="Arial Unicode MS" w:eastAsia="Arial Unicode MS"/>
          <w:spacing w:val="0"/>
          <w:w w:val="100"/>
          <w:position w:val="1"/>
          <w:sz w:val="22"/>
          <w:szCs w:val="22"/>
        </w:rPr>
        <w:t>1</w:t>
      </w:r>
      <w:r>
        <w:rPr>
          <w:rFonts w:ascii="Arial Unicode MS" w:hAnsi="Arial Unicode MS" w:cs="Arial Unicode MS" w:eastAsia="Arial Unicode MS"/>
          <w:spacing w:val="0"/>
          <w:w w:val="100"/>
          <w:position w:val="1"/>
          <w:sz w:val="22"/>
          <w:szCs w:val="22"/>
        </w:rPr>
        <w:t> </w:t>
      </w:r>
      <w:r>
        <w:rPr>
          <w:rFonts w:ascii="Arial Unicode MS" w:hAnsi="Arial Unicode MS" w:cs="Arial Unicode MS" w:eastAsia="Arial Unicode MS"/>
          <w:spacing w:val="0"/>
          <w:w w:val="100"/>
          <w:position w:val="0"/>
          <w:sz w:val="22"/>
          <w:szCs w:val="22"/>
        </w:rPr>
        <w:t>和</w:t>
      </w:r>
      <w:r>
        <w:rPr>
          <w:rFonts w:ascii="Arial Unicode MS" w:hAnsi="Arial Unicode MS" w:cs="Arial Unicode MS" w:eastAsia="Arial Unicode MS"/>
          <w:spacing w:val="0"/>
          <w:w w:val="100"/>
          <w:position w:val="0"/>
          <w:sz w:val="22"/>
          <w:szCs w:val="22"/>
        </w:rPr>
        <w:t> </w:t>
      </w:r>
      <w:r>
        <w:rPr>
          <w:rFonts w:ascii="Arial Unicode MS" w:hAnsi="Arial Unicode MS" w:cs="Arial Unicode MS" w:eastAsia="Arial Unicode MS"/>
          <w:spacing w:val="0"/>
          <w:w w:val="100"/>
          <w:position w:val="0"/>
          <w:sz w:val="22"/>
          <w:szCs w:val="22"/>
        </w:rPr>
        <w:t>2</w:t>
      </w:r>
    </w:p>
    <w:p>
      <w:pPr>
        <w:spacing w:before="6" w:after="0" w:line="110" w:lineRule="exact"/>
        <w:jc w:val="left"/>
        <w:rPr>
          <w:sz w:val="11"/>
          <w:szCs w:val="11"/>
        </w:rPr>
      </w:pPr>
      <w:r>
        <w:rPr>
          <w:sz w:val="11"/>
          <w:szCs w:val="11"/>
        </w:rPr>
      </w:r>
    </w:p>
    <w:p>
      <w:pPr>
        <w:spacing w:before="0" w:after="0" w:line="185" w:lineRule="auto"/>
        <w:ind w:left="2388" w:right="69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该产品不含作为生物杀虫剂的有机锡，符合国际海事组织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2001</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年</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10</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月所通过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的有关在船上控制使用有害防污漆的国际条约(国际海事组织文件</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AFS/CONF/26)。</w:t>
      </w:r>
      <w:r>
        <w:rPr>
          <w:rFonts w:ascii="Arial Unicode MS" w:hAnsi="Arial Unicode MS" w:cs="Arial Unicode MS" w:eastAsia="Arial Unicode MS"/>
          <w:spacing w:val="0"/>
          <w:w w:val="100"/>
          <w:sz w:val="22"/>
          <w:szCs w:val="22"/>
        </w:rPr>
      </w:r>
    </w:p>
    <w:p>
      <w:pPr>
        <w:spacing w:line="185" w:lineRule="auto" w:after="0"/>
        <w:jc w:val="left"/>
        <w:rPr>
          <w:rFonts w:ascii="Arial Unicode MS" w:hAnsi="Arial Unicode MS" w:cs="Arial Unicode MS" w:eastAsia="Arial Unicode MS"/>
          <w:sz w:val="22"/>
          <w:szCs w:val="22"/>
        </w:rPr>
        <w:sectPr>
          <w:type w:val="continuous"/>
          <w:pgSz w:w="11900" w:h="16820"/>
          <w:pgMar w:top="1040" w:bottom="1780" w:left="620" w:right="540"/>
        </w:sectPr>
      </w:pPr>
    </w:p>
    <w:p>
      <w:pPr>
        <w:tabs>
          <w:tab w:pos="2280" w:val="left"/>
        </w:tabs>
        <w:spacing w:before="37" w:after="0" w:line="293" w:lineRule="auto"/>
        <w:ind w:left="2297" w:right="1715"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当作为已核准的方案的一部分使用时，该涂料具有下列证书：</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产品已由下列船级社认可，符合有关控制船上有害防污系统的国际惯例，2001（AFS</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2001）：</w:t>
      </w:r>
    </w:p>
    <w:p>
      <w:pPr>
        <w:spacing w:before="4" w:after="0" w:line="100" w:lineRule="exact"/>
        <w:jc w:val="left"/>
        <w:rPr>
          <w:sz w:val="10"/>
          <w:szCs w:val="10"/>
        </w:rPr>
      </w:pPr>
      <w:r>
        <w:rPr>
          <w:sz w:val="10"/>
          <w:szCs w:val="10"/>
        </w:rPr>
      </w:r>
    </w:p>
    <w:p>
      <w:pPr>
        <w:spacing w:before="0" w:after="0" w:line="240" w:lineRule="auto"/>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英国劳氏船级社(Lloyds</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Register)</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德国劳氏船级社(Germanischer</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Lloyd)</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韩国船级社(Korean</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Register</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of</w:t>
      </w:r>
      <w:r>
        <w:rPr>
          <w:rFonts w:ascii="Arial Unicode MS" w:hAnsi="Arial Unicode MS" w:cs="Arial Unicode MS" w:eastAsia="Arial Unicode MS"/>
          <w:spacing w:val="-1"/>
          <w:w w:val="100"/>
          <w:sz w:val="16"/>
          <w:szCs w:val="16"/>
        </w:rPr>
        <w:t> </w:t>
      </w:r>
      <w:r>
        <w:rPr>
          <w:rFonts w:ascii="Arial Unicode MS" w:hAnsi="Arial Unicode MS" w:cs="Arial Unicode MS" w:eastAsia="Arial Unicode MS"/>
          <w:spacing w:val="0"/>
          <w:w w:val="100"/>
          <w:sz w:val="16"/>
          <w:szCs w:val="16"/>
        </w:rPr>
        <w:t>Shipping)</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挪威船级社</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(Det</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Norske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Veritas)</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法国船级社</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(Bureau</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Veritas)</w:t>
      </w:r>
      <w:r>
        <w:rPr>
          <w:rFonts w:ascii="Arial Unicode MS" w:hAnsi="Arial Unicode MS" w:cs="Arial Unicode MS" w:eastAsia="Arial Unicode MS"/>
          <w:spacing w:val="0"/>
          <w:w w:val="100"/>
          <w:sz w:val="16"/>
          <w:szCs w:val="16"/>
        </w:rPr>
      </w:r>
    </w:p>
    <w:p>
      <w:pPr>
        <w:spacing w:before="2" w:after="0" w:line="150" w:lineRule="exact"/>
        <w:jc w:val="left"/>
        <w:rPr>
          <w:sz w:val="15"/>
          <w:szCs w:val="15"/>
        </w:rPr>
      </w:pPr>
      <w:r>
        <w:rPr>
          <w:sz w:val="15"/>
          <w:szCs w:val="15"/>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7747pt;width:409.5pt;height:.1pt;mso-position-horizontal-relative:page;mso-position-vertical-relative:paragraph;z-index:-378" coordorigin="2917,382" coordsize="8190,2">
            <v:shape style="position:absolute;left:2917;top:382;width:8190;height:2" coordorigin="2917,382" coordsize="8190,0" path="m2917,382l11107,382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headerReference w:type="default" r:id="rId7"/>
          <w:pgSz w:w="11900" w:h="16820"/>
          <w:pgMar w:header="299" w:footer="1582" w:top="1040" w:bottom="1780" w:left="620" w:right="540"/>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体系及配套性</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458" w:space="877"/>
            <w:col w:w="8405"/>
          </w:cols>
        </w:sectPr>
      </w:pPr>
    </w:p>
    <w:p>
      <w:pPr>
        <w:spacing w:before="7"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4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570007pt;margin-top:-3.758976pt;width:414.0pt;height:.1pt;mso-position-horizontal-relative:page;mso-position-vertical-relative:paragraph;z-index:-377"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22"/>
          <w:szCs w:val="22"/>
        </w:rPr>
        <w:t>表面处理</w:t>
      </w:r>
    </w:p>
    <w:p>
      <w:pPr>
        <w:spacing w:before="7" w:after="0" w:line="185" w:lineRule="auto"/>
        <w:ind w:right="362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71" w:after="0" w:line="185" w:lineRule="auto"/>
        <w:ind w:left="6" w:right="249"/>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必须始终于要求的复涂间隔时间内施工在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过渡涂层上</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(在美国为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过渡涂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层)。</w:t>
      </w:r>
    </w:p>
    <w:p>
      <w:pPr>
        <w:spacing w:before="1" w:after="0" w:line="160" w:lineRule="exact"/>
        <w:jc w:val="left"/>
        <w:rPr>
          <w:sz w:val="16"/>
          <w:szCs w:val="16"/>
        </w:rPr>
      </w:pPr>
      <w:r>
        <w:rPr>
          <w:sz w:val="16"/>
          <w:szCs w:val="16"/>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有关详细的施工意见和建议，请向国际油漆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74"/>
            <w:col w:w="844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9" w:after="0" w:line="200" w:lineRule="exact"/>
        <w:jc w:val="left"/>
        <w:rPr>
          <w:sz w:val="20"/>
          <w:szCs w:val="20"/>
        </w:rPr>
      </w:pPr>
      <w:r>
        <w:rPr>
          <w:sz w:val="20"/>
          <w:szCs w:val="20"/>
        </w:rPr>
      </w:r>
    </w:p>
    <w:p>
      <w:pPr>
        <w:spacing w:before="0" w:after="0" w:line="32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18" w:after="0" w:line="240" w:lineRule="exact"/>
        <w:jc w:val="left"/>
        <w:rPr>
          <w:sz w:val="24"/>
          <w:szCs w:val="24"/>
        </w:rPr>
      </w:pPr>
      <w:r>
        <w:rPr>
          <w:sz w:val="24"/>
          <w:szCs w:val="24"/>
        </w:rPr>
      </w:r>
    </w:p>
    <w:p>
      <w:pPr>
        <w:spacing w:before="0" w:after="0" w:line="366" w:lineRule="exact"/>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5" w:after="0" w:line="100" w:lineRule="exact"/>
        <w:jc w:val="left"/>
        <w:rPr>
          <w:sz w:val="10"/>
          <w:szCs w:val="10"/>
        </w:rPr>
      </w:pPr>
      <w:r>
        <w:rPr>
          <w:sz w:val="10"/>
          <w:szCs w:val="10"/>
        </w:rPr>
      </w:r>
    </w:p>
    <w:p>
      <w:pPr>
        <w:spacing w:before="0" w:after="0" w:line="240" w:lineRule="auto"/>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漆辊</w:t>
      </w:r>
    </w:p>
    <w:p>
      <w:pPr>
        <w:spacing w:before="4" w:after="0" w:line="160" w:lineRule="exact"/>
        <w:jc w:val="left"/>
        <w:rPr>
          <w:sz w:val="16"/>
          <w:szCs w:val="16"/>
        </w:rPr>
      </w:pPr>
      <w:r>
        <w:rPr>
          <w:sz w:val="16"/>
          <w:szCs w:val="16"/>
        </w:rPr>
      </w:r>
    </w:p>
    <w:p>
      <w:pPr>
        <w:spacing w:before="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6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涂料分装在三个容器中，作为一组供应。使用时应始终按供应的比例整组混合。</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(1)采用电动搅拌器搅拌甲组份。</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(2)混合全部甲组份和乙组份，并采用电动搅拌器彻底搅拌。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(3)将丙组份全部加入，并采用电动搅拌器彻底搅拌。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一组油漆一经混合，必须在规定的混合后施工时间内使用。</w:t>
      </w:r>
    </w:p>
    <w:p>
      <w:pPr>
        <w:spacing w:before="1" w:after="0" w:line="160" w:lineRule="exact"/>
        <w:jc w:val="left"/>
        <w:rPr>
          <w:sz w:val="16"/>
          <w:szCs w:val="16"/>
        </w:rPr>
      </w:pPr>
      <w:r>
        <w:rPr>
          <w:sz w:val="16"/>
          <w:szCs w:val="16"/>
        </w:rPr>
      </w:r>
    </w:p>
    <w:p>
      <w:pPr>
        <w:spacing w:before="0" w:after="0" w:line="185" w:lineRule="auto"/>
        <w:ind w:left="15" w:right="22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GTA007</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0.38-0.53</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(15-21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(3000磅/平方英寸)</w:t>
      </w:r>
      <w:r>
        <w:rPr>
          <w:rFonts w:ascii="Arial Unicode MS" w:hAnsi="Arial Unicode MS" w:cs="Arial Unicode MS" w:eastAsia="Arial Unicode MS"/>
          <w:spacing w:val="0"/>
          <w:w w:val="100"/>
          <w:sz w:val="16"/>
          <w:szCs w:val="16"/>
        </w:rPr>
      </w:r>
    </w:p>
    <w:p>
      <w:pPr>
        <w:spacing w:before="8"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不推荐采用传统型喷涂方法进行施工。</w:t>
      </w:r>
    </w:p>
    <w:p>
      <w:pPr>
        <w:spacing w:before="2" w:after="0" w:line="140" w:lineRule="exact"/>
        <w:jc w:val="left"/>
        <w:rPr>
          <w:sz w:val="14"/>
          <w:szCs w:val="14"/>
        </w:rPr>
      </w:pPr>
      <w:r>
        <w:rPr>
          <w:sz w:val="14"/>
          <w:szCs w:val="14"/>
        </w:rPr>
      </w:r>
    </w:p>
    <w:p>
      <w:pPr>
        <w:spacing w:before="0" w:after="0" w:line="185"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before="71" w:after="0" w:line="185"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辊涂施工仅建议用于小面积。可能需要多道涂层，以达到规定的膜厚。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before="63"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GTA822/GTA007</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40"/>
          <w:cols w:num="2" w:equalWidth="0">
            <w:col w:w="1238" w:space="1149"/>
            <w:col w:w="8353"/>
          </w:cols>
        </w:sectPr>
      </w:pPr>
    </w:p>
    <w:p>
      <w:pPr>
        <w:tabs>
          <w:tab w:pos="2380" w:val="left"/>
        </w:tabs>
        <w:spacing w:before="67" w:after="0" w:line="178" w:lineRule="auto"/>
        <w:ind w:left="2387" w:right="248"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GTA822/GTA007</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合，不应再行密封，施工中如停顿时间过长，建议重新混合各组份，再开始施工。</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所有设备在使用后应立即采用国际牌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GTA822/GTA007</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进行清洗。在一天的工作过程中定时冲洗喷涂设备是一种良</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好的工作习惯。清洗次数取决于喷涂数量、温度和使用时间(包括耽搁的时间)。不要超过涂料的混合后施工时间。</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所有剩余涂料和空容器应按照当地适宜的规章/法律进行处置。</w:t>
      </w:r>
      <w:r>
        <w:rPr>
          <w:rFonts w:ascii="Arial Unicode MS" w:hAnsi="Arial Unicode MS" w:cs="Arial Unicode MS" w:eastAsia="Arial Unicode MS"/>
          <w:spacing w:val="0"/>
          <w:w w:val="100"/>
          <w:position w:val="0"/>
          <w:sz w:val="16"/>
          <w:szCs w:val="16"/>
        </w:rPr>
      </w:r>
    </w:p>
    <w:p>
      <w:pPr>
        <w:spacing w:before="8" w:after="0" w:line="240" w:lineRule="exact"/>
        <w:jc w:val="left"/>
        <w:rPr>
          <w:sz w:val="24"/>
          <w:szCs w:val="24"/>
        </w:rPr>
      </w:pPr>
      <w:r>
        <w:rPr>
          <w:sz w:val="24"/>
          <w:szCs w:val="24"/>
        </w:rPr>
      </w:r>
    </w:p>
    <w:p>
      <w:pPr>
        <w:tabs>
          <w:tab w:pos="2360" w:val="left"/>
        </w:tabs>
        <w:spacing w:before="8" w:after="0" w:line="158" w:lineRule="auto"/>
        <w:ind w:left="2372" w:right="306" w:hanging="2235"/>
        <w:jc w:val="left"/>
        <w:rPr>
          <w:rFonts w:ascii="Arial Unicode MS" w:hAnsi="Arial Unicode MS" w:cs="Arial Unicode MS" w:eastAsia="Arial Unicode MS"/>
          <w:sz w:val="16"/>
          <w:szCs w:val="16"/>
        </w:rPr>
      </w:pPr>
      <w:r>
        <w:rPr/>
        <w:pict>
          <v:group style="position:absolute;margin-left:149.600006pt;margin-top:27.475388pt;width:405.75pt;height:.1pt;mso-position-horizontal-relative:page;mso-position-vertical-relative:paragraph;z-index:-376" coordorigin="2992,550" coordsize="8115,2">
            <v:shape style="position:absolute;left:2992;top:550;width:8115;height:2" coordorigin="2992,550" coordsize="8115,0" path="m2992,550l11107,550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7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3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9" w:after="0" w:line="120" w:lineRule="exact"/>
        <w:jc w:val="left"/>
        <w:rPr>
          <w:sz w:val="12"/>
          <w:szCs w:val="12"/>
        </w:rPr>
      </w:pPr>
      <w:r>
        <w:rPr>
          <w:sz w:val="12"/>
          <w:szCs w:val="12"/>
        </w:rPr>
      </w:r>
    </w:p>
    <w:p>
      <w:pPr>
        <w:tabs>
          <w:tab w:pos="2280" w:val="left"/>
        </w:tabs>
        <w:spacing w:before="0" w:after="0" w:line="158" w:lineRule="auto"/>
        <w:ind w:left="2297" w:right="140"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施工时可接受的最低底材温度为</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0°C。要求最低相对湿度为</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30%，以确保合适固化。如果相对湿度低于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30%，将需要</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更长的固化时间。</w:t>
      </w:r>
    </w:p>
    <w:p>
      <w:pPr>
        <w:spacing w:before="0" w:after="0" w:line="22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应注意避免在其它已涂装区域上出现过喷情况。</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必须在规定的复涂间隔内施工在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过渡涂层上（在美国为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731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过渡涂层）。</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在使用前或再使用其它涂料前，所有设备必须彻底清洗，以防污染。不允许用于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Intersleek</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757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的液体清洁剂沾污其</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它油漆。</w:t>
      </w:r>
    </w:p>
    <w:p>
      <w:pPr>
        <w:spacing w:before="5" w:after="0" w:line="200" w:lineRule="exact"/>
        <w:jc w:val="left"/>
        <w:rPr>
          <w:sz w:val="20"/>
          <w:szCs w:val="20"/>
        </w:rPr>
      </w:pPr>
      <w:r>
        <w:rPr>
          <w:sz w:val="20"/>
          <w:szCs w:val="20"/>
        </w:rPr>
      </w:r>
    </w:p>
    <w:p>
      <w:pPr>
        <w:spacing w:before="0" w:after="0" w:line="185" w:lineRule="auto"/>
        <w:ind w:left="2297" w:right="22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21"/>
        <w:jc w:val="left"/>
        <w:rPr>
          <w:rFonts w:ascii="Arial Unicode MS" w:hAnsi="Arial Unicode MS" w:cs="Arial Unicode MS" w:eastAsia="Arial Unicode MS"/>
          <w:sz w:val="16"/>
          <w:szCs w:val="16"/>
        </w:rPr>
      </w:pPr>
      <w:r>
        <w:rPr/>
        <w:pict>
          <v:group style="position:absolute;margin-left:145.850006pt;margin-top:70.012695pt;width:417.6pt;height:.1pt;mso-position-horizontal-relative:page;mso-position-vertical-relative:paragraph;z-index:-375" coordorigin="2917,1400" coordsize="8352,2">
            <v:shape style="position:absolute;left:2917;top:1400;width:8352;height:2" coordorigin="2917,1400" coordsize="8352,0" path="m2917,1400l11269,1400e" filled="f" stroked="t" strokeweight="1.5pt" strokecolor="#000000">
              <v:path arrowok="t"/>
            </v:shape>
            <w10:wrap type="none"/>
          </v:group>
        </w:pict>
      </w: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3"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5246pt;width:522.75pt;height:64.1258pt;mso-position-horizontal-relative:page;mso-position-vertical-relative:paragraph;z-index:-374" coordorigin="757,46" coordsize="10455,1283">
            <v:shape style="position:absolute;left:757;top:46;width:10455;height:1283" coordorigin="757,46" coordsize="10455,1283" path="m757,1329l11212,1329,11212,46,757,46,757,1329xe" filled="t" fillcolor="#D2D2D2" stroked="f">
              <v:path arrowok="t"/>
              <v:fill/>
            </v:shape>
            <w10:wrap type="none"/>
          </v:group>
        </w:pict>
      </w:r>
      <w:r>
        <w:rPr/>
        <w:pict>
          <v:shape style="position:absolute;margin-left:164.100006pt;margin-top:2.315246pt;width:396.5pt;height:47.175816pt;mso-position-horizontal-relative:page;mso-position-vertical-relative:paragraph;z-index:-370"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81"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8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187"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60" w:right="-5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926" w:type="dxa"/>
                        <w:tcBorders>
                          <w:top w:val="nil" w:sz="6" w:space="0" w:color="auto"/>
                          <w:left w:val="nil" w:sz="6" w:space="0" w:color="auto"/>
                          <w:bottom w:val="nil" w:sz="6" w:space="0" w:color="auto"/>
                          <w:right w:val="nil" w:sz="6" w:space="0" w:color="auto"/>
                        </w:tcBorders>
                        <w:shd w:val="clear" w:color="auto" w:fill="D2D2D2"/>
                      </w:tcPr>
                      <w:p>
                        <w:pPr/>
                      </w:p>
                    </w:tc>
                    <w:tc>
                      <w:tcPr>
                        <w:tcW w:w="1110"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6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952" w:type="dxa"/>
                        <w:tcBorders>
                          <w:top w:val="nil" w:sz="6" w:space="0" w:color="auto"/>
                          <w:left w:val="nil" w:sz="6" w:space="0" w:color="auto"/>
                          <w:bottom w:val="nil" w:sz="6" w:space="0" w:color="auto"/>
                          <w:right w:val="nil" w:sz="6" w:space="0" w:color="auto"/>
                        </w:tcBorders>
                        <w:shd w:val="clear" w:color="auto" w:fill="D2D2D2"/>
                      </w:tcPr>
                      <w:p>
                        <w:pPr/>
                      </w:p>
                    </w:tc>
                    <w:tc>
                      <w:tcPr>
                        <w:tcW w:w="1097"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3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丙组份</w:t>
                        </w:r>
                        <w:r>
                          <w:rPr>
                            <w:rFonts w:ascii="Arial Unicode MS" w:hAnsi="Arial Unicode MS" w:cs="Arial Unicode MS" w:eastAsia="Arial Unicode MS"/>
                            <w:spacing w:val="0"/>
                            <w:w w:val="100"/>
                            <w:position w:val="0"/>
                            <w:sz w:val="14"/>
                            <w:szCs w:val="14"/>
                          </w:rPr>
                        </w:r>
                      </w:p>
                    </w:tc>
                    <w:tc>
                      <w:tcPr>
                        <w:tcW w:w="1676" w:type="dxa"/>
                        <w:tcBorders>
                          <w:top w:val="nil" w:sz="6" w:space="0" w:color="auto"/>
                          <w:left w:val="nil" w:sz="6" w:space="0" w:color="auto"/>
                          <w:bottom w:val="nil" w:sz="6" w:space="0" w:color="auto"/>
                          <w:right w:val="nil" w:sz="6" w:space="0" w:color="auto"/>
                        </w:tcBorders>
                        <w:shd w:val="clear" w:color="auto" w:fill="D2D2D2"/>
                      </w:tcPr>
                      <w:p>
                        <w:pPr/>
                      </w:p>
                    </w:tc>
                  </w:tr>
                  <w:tr>
                    <w:trPr>
                      <w:trHeight w:val="225" w:hRule="exact"/>
                    </w:trPr>
                    <w:tc>
                      <w:tcPr>
                        <w:tcW w:w="981" w:type="dxa"/>
                        <w:tcBorders>
                          <w:top w:val="nil" w:sz="6" w:space="0" w:color="auto"/>
                          <w:left w:val="nil" w:sz="6" w:space="0" w:color="auto"/>
                          <w:bottom w:val="nil" w:sz="6" w:space="0" w:color="auto"/>
                          <w:right w:val="nil" w:sz="6" w:space="0" w:color="auto"/>
                        </w:tcBorders>
                        <w:shd w:val="clear" w:color="auto" w:fill="D2D2D2"/>
                      </w:tcPr>
                      <w:p>
                        <w:pPr/>
                      </w:p>
                    </w:tc>
                    <w:tc>
                      <w:tcPr>
                        <w:tcW w:w="1187"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432" w:right="39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926"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7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110"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61" w:right="38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952"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097"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1676"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0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r>
                  <w:tr>
                    <w:trPr>
                      <w:trHeight w:val="257" w:hRule="exact"/>
                    </w:trPr>
                    <w:tc>
                      <w:tcPr>
                        <w:tcW w:w="981"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12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187"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9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7.5</w:t>
                        </w:r>
                        <w:r>
                          <w:rPr>
                            <w:rFonts w:ascii="Arial Unicode MS" w:hAnsi="Arial Unicode MS" w:cs="Arial Unicode MS" w:eastAsia="Arial Unicode MS"/>
                            <w:spacing w:val="-2"/>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926"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9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110"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9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952"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2.5</w:t>
                        </w:r>
                        <w:r>
                          <w:rPr>
                            <w:rFonts w:ascii="Arial Unicode MS" w:hAnsi="Arial Unicode MS" w:cs="Arial Unicode MS" w:eastAsia="Arial Unicode MS"/>
                            <w:spacing w:val="-2"/>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097"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2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0.5</w:t>
                        </w:r>
                        <w:r>
                          <w:rPr>
                            <w:rFonts w:ascii="Arial Unicode MS" w:hAnsi="Arial Unicode MS" w:cs="Arial Unicode MS" w:eastAsia="Arial Unicode MS"/>
                            <w:spacing w:val="-2"/>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c>
                      <w:tcPr>
                        <w:tcW w:w="1676"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11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tc>
                  </w:tr>
                  <w:tr>
                    <w:trPr>
                      <w:trHeight w:val="292" w:hRule="exact"/>
                    </w:trPr>
                    <w:tc>
                      <w:tcPr>
                        <w:tcW w:w="981"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美加仑</w:t>
                        </w:r>
                      </w:p>
                    </w:tc>
                    <w:tc>
                      <w:tcPr>
                        <w:tcW w:w="1187"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28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1.88</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美加仑</w:t>
                        </w:r>
                      </w:p>
                    </w:tc>
                    <w:tc>
                      <w:tcPr>
                        <w:tcW w:w="926"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美加仑</w:t>
                        </w:r>
                      </w:p>
                    </w:tc>
                    <w:tc>
                      <w:tcPr>
                        <w:tcW w:w="1110"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26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美加仑</w:t>
                        </w:r>
                      </w:p>
                    </w:tc>
                    <w:tc>
                      <w:tcPr>
                        <w:tcW w:w="952"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2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美加仑</w:t>
                        </w:r>
                      </w:p>
                    </w:tc>
                    <w:tc>
                      <w:tcPr>
                        <w:tcW w:w="1097"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27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美品脱</w:t>
                        </w:r>
                      </w:p>
                    </w:tc>
                    <w:tc>
                      <w:tcPr>
                        <w:tcW w:w="1676" w:type="dxa"/>
                        <w:tcBorders>
                          <w:top w:val="nil" w:sz="6" w:space="0" w:color="auto"/>
                          <w:left w:val="nil" w:sz="6" w:space="0" w:color="auto"/>
                          <w:bottom w:val="nil" w:sz="6" w:space="0" w:color="auto"/>
                          <w:right w:val="nil" w:sz="6" w:space="0" w:color="auto"/>
                        </w:tcBorders>
                        <w:shd w:val="clear" w:color="auto" w:fill="D2D2D2"/>
                      </w:tcPr>
                      <w:p>
                        <w:pPr>
                          <w:spacing w:before="0" w:after="0" w:line="202" w:lineRule="exact"/>
                          <w:ind w:left="4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美品脱</w:t>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5" w:after="0" w:line="200" w:lineRule="exact"/>
        <w:jc w:val="left"/>
        <w:rPr>
          <w:sz w:val="20"/>
          <w:szCs w:val="20"/>
        </w:rPr>
      </w:pPr>
      <w:r>
        <w:rPr>
          <w:sz w:val="20"/>
          <w:szCs w:val="20"/>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202pt;width:522.75pt;height:40.8859pt;mso-position-horizontal-relative:page;mso-position-vertical-relative:paragraph;z-index:-373" coordorigin="757,139" coordsize="10455,818">
            <v:shape style="position:absolute;left:757;top:139;width:10455;height:818" coordorigin="757,139" coordsize="10455,818" path="m757,957l11212,957,11212,139,757,139,757,957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20" w:val="left"/>
        </w:tabs>
        <w:spacing w:before="0" w:after="0" w:line="178"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12.1</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千克</w:t>
      </w:r>
    </w:p>
    <w:p>
      <w:pPr>
        <w:tabs>
          <w:tab w:pos="4660" w:val="left"/>
        </w:tabs>
        <w:spacing w:before="2" w:after="0" w:line="233" w:lineRule="exact"/>
        <w:ind w:left="27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2.5</w:t>
      </w:r>
      <w:r>
        <w:rPr>
          <w:rFonts w:ascii="Arial Unicode MS" w:hAnsi="Arial Unicode MS" w:cs="Arial Unicode MS" w:eastAsia="Arial Unicode MS"/>
          <w:spacing w:val="-2"/>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24</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磅</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1824pt;width:524.5pt;height:20.9883pt;mso-position-horizontal-relative:page;mso-position-vertical-relative:paragraph;z-index:-372"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4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438" w:space="840"/>
            <w:col w:w="846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4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21621pt;width:414pt;height:.1pt;mso-position-horizontal-relative:page;mso-position-vertical-relative:paragraph;z-index:-371"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5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99"/>
          <w:sz w:val="12"/>
          <w:szCs w:val="12"/>
        </w:rPr>
        <w:t>细阅读。该产品说明书所包含资料将根据经验及我们不断开发产品的政策随时进行修改。</w:t>
      </w:r>
      <w:r>
        <w:rPr>
          <w:rFonts w:ascii="Arial Unicode MS" w:hAnsi="Arial Unicode MS" w:cs="Arial Unicode MS" w:eastAsia="Arial Unicode MS"/>
          <w:spacing w:val="0"/>
          <w:w w:val="99"/>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r>
        <w:rPr>
          <w:rFonts w:ascii="Arial Unicode MS" w:hAnsi="Arial Unicode MS" w:cs="Arial Unicode MS" w:eastAsia="Arial Unicode MS"/>
          <w:spacing w:val="0"/>
          <w:w w:val="100"/>
          <w:sz w:val="12"/>
          <w:szCs w:val="12"/>
        </w:rPr>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40"/>
      <w:cols w:num="2" w:equalWidth="0">
        <w:col w:w="998" w:space="1274"/>
        <w:col w:w="84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382" type="#_x0000_t75">
          <v:imagedata r:id="rId1" o:title=""/>
        </v:shape>
      </w:pict>
    </w:r>
    <w:r>
      <w:rPr/>
      <w:pict>
        <v:group style="position:absolute;margin-left:36.860001pt;margin-top:780.25pt;width:455.53pt;height:.1pt;mso-position-horizontal-relative:page;mso-position-vertical-relative:page;z-index:-381"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380"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资料来源147</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84" type="#_x0000_t75">
          <v:imagedata r:id="rId1" o:title=""/>
        </v:shape>
      </w:pict>
    </w:r>
    <w:r>
      <w:rPr/>
      <w:pict>
        <v:shapetype id="_x0000_t202" o:spt="202" coordsize="21600,21600" path="m,l,21600r21600,l21600,xe">
          <v:stroke joinstyle="miter"/>
          <v:path gradientshapeok="t" o:connecttype="rect"/>
        </v:shapetype>
        <v:shape style="position:absolute;margin-left:406.019897pt;margin-top:13.964228pt;width:157.578204pt;height:39.970127pt;mso-position-horizontal-relative:page;mso-position-vertical-relative:page;z-index:-383"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Intersleek</w:t>
                </w:r>
                <w:r>
                  <w:rPr>
                    <w:rFonts w:ascii="Arial Unicode MS" w:hAnsi="Arial Unicode MS" w:cs="Arial Unicode MS" w:eastAsia="Arial Unicode MS"/>
                    <w:spacing w:val="-21"/>
                    <w:w w:val="100"/>
                    <w:position w:val="2"/>
                    <w:sz w:val="48"/>
                    <w:szCs w:val="48"/>
                  </w:rPr>
                  <w:t> </w:t>
                </w:r>
                <w:r>
                  <w:rPr>
                    <w:rFonts w:ascii="Arial Unicode MS" w:hAnsi="Arial Unicode MS" w:cs="Arial Unicode MS" w:eastAsia="Arial Unicode MS"/>
                    <w:spacing w:val="0"/>
                    <w:w w:val="100"/>
                    <w:position w:val="2"/>
                    <w:sz w:val="48"/>
                    <w:szCs w:val="48"/>
                  </w:rPr>
                  <w:t>757</w:t>
                </w:r>
                <w:r>
                  <w:rPr>
                    <w:rFonts w:ascii="Arial Unicode MS" w:hAnsi="Arial Unicode MS" w:cs="Arial Unicode MS" w:eastAsia="Arial Unicode MS"/>
                    <w:spacing w:val="0"/>
                    <w:w w:val="100"/>
                    <w:position w:val="0"/>
                    <w:sz w:val="48"/>
                    <w:szCs w:val="48"/>
                  </w:rPr>
                </w:r>
              </w:p>
              <w:p>
                <w:pPr>
                  <w:spacing w:before="0" w:after="0" w:line="262" w:lineRule="exact"/>
                  <w:ind w:left="1592"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弹性不沾污涂料</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79" type="#_x0000_t75">
          <v:imagedata r:id="rId1" o:title=""/>
        </v:shape>
      </w:pict>
    </w:r>
    <w:r>
      <w:rPr/>
      <w:pict>
        <v:shape style="position:absolute;margin-left:406.019897pt;margin-top:13.964228pt;width:157.578204pt;height:39.970127pt;mso-position-horizontal-relative:page;mso-position-vertical-relative:page;z-index:-378"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Intersleek</w:t>
                </w:r>
                <w:r>
                  <w:rPr>
                    <w:rFonts w:ascii="Arial Unicode MS" w:hAnsi="Arial Unicode MS" w:cs="Arial Unicode MS" w:eastAsia="Arial Unicode MS"/>
                    <w:spacing w:val="-21"/>
                    <w:w w:val="100"/>
                    <w:position w:val="2"/>
                    <w:sz w:val="48"/>
                    <w:szCs w:val="48"/>
                  </w:rPr>
                  <w:t> </w:t>
                </w:r>
                <w:r>
                  <w:rPr>
                    <w:rFonts w:ascii="Arial Unicode MS" w:hAnsi="Arial Unicode MS" w:cs="Arial Unicode MS" w:eastAsia="Arial Unicode MS"/>
                    <w:spacing w:val="0"/>
                    <w:w w:val="100"/>
                    <w:position w:val="2"/>
                    <w:sz w:val="48"/>
                    <w:szCs w:val="48"/>
                  </w:rPr>
                  <w:t>757</w:t>
                </w:r>
                <w:r>
                  <w:rPr>
                    <w:rFonts w:ascii="Arial Unicode MS" w:hAnsi="Arial Unicode MS" w:cs="Arial Unicode MS" w:eastAsia="Arial Unicode MS"/>
                    <w:spacing w:val="0"/>
                    <w:w w:val="100"/>
                    <w:position w:val="0"/>
                    <w:sz w:val="48"/>
                    <w:szCs w:val="48"/>
                  </w:rPr>
                </w:r>
              </w:p>
              <w:p>
                <w:pPr>
                  <w:spacing w:before="0" w:after="0" w:line="262" w:lineRule="exact"/>
                  <w:ind w:left="1592"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弹性不沾污涂料</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77" type="#_x0000_t75">
          <v:imagedata r:id="rId1" o:title=""/>
        </v:shape>
      </w:pict>
    </w:r>
    <w:r>
      <w:rPr/>
      <w:pict>
        <v:shape style="position:absolute;margin-left:406.019897pt;margin-top:13.964228pt;width:157.578204pt;height:39.970127pt;mso-position-horizontal-relative:page;mso-position-vertical-relative:page;z-index:-376"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Intersleek</w:t>
                </w:r>
                <w:r>
                  <w:rPr>
                    <w:rFonts w:ascii="Arial Unicode MS" w:hAnsi="Arial Unicode MS" w:cs="Arial Unicode MS" w:eastAsia="Arial Unicode MS"/>
                    <w:spacing w:val="-21"/>
                    <w:w w:val="100"/>
                    <w:position w:val="2"/>
                    <w:sz w:val="48"/>
                    <w:szCs w:val="48"/>
                  </w:rPr>
                  <w:t> </w:t>
                </w:r>
                <w:r>
                  <w:rPr>
                    <w:rFonts w:ascii="Arial Unicode MS" w:hAnsi="Arial Unicode MS" w:cs="Arial Unicode MS" w:eastAsia="Arial Unicode MS"/>
                    <w:spacing w:val="0"/>
                    <w:w w:val="100"/>
                    <w:position w:val="2"/>
                    <w:sz w:val="48"/>
                    <w:szCs w:val="48"/>
                  </w:rPr>
                  <w:t>757</w:t>
                </w:r>
                <w:r>
                  <w:rPr>
                    <w:rFonts w:ascii="Arial Unicode MS" w:hAnsi="Arial Unicode MS" w:cs="Arial Unicode MS" w:eastAsia="Arial Unicode MS"/>
                    <w:spacing w:val="0"/>
                    <w:w w:val="100"/>
                    <w:position w:val="0"/>
                    <w:sz w:val="48"/>
                    <w:szCs w:val="48"/>
                  </w:rPr>
                </w:r>
              </w:p>
              <w:p>
                <w:pPr>
                  <w:spacing w:before="0" w:after="0" w:line="262" w:lineRule="exact"/>
                  <w:ind w:left="1592"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弹性不沾污涂料</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Intersleek 757 弹性不沾污涂料 Intersleek 1 07/07/2009 Intersleek 757 I 147 chi-s</cp:keywords>
  <dc:subject>Technical Datasheet</dc:subject>
  <dc:title>Intersleek 757</dc:title>
  <dcterms:created xsi:type="dcterms:W3CDTF">2015-07-27T15:51:56Z</dcterms:created>
  <dcterms:modified xsi:type="dcterms:W3CDTF">2015-07-27T15:51:56Z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